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rPr>
          <w:rFonts w:ascii="Montserrat" w:cs="Montserrat" w:eastAsia="Montserrat" w:hAnsi="Montserrat"/>
          <w:sz w:val="26"/>
          <w:szCs w:val="26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vertAlign w:val="baseline"/>
          <w:rtl w:val="0"/>
        </w:rPr>
        <w:t xml:space="preserve">Role Description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vertAlign w:val="baseline"/>
          <w:rtl w:val="0"/>
        </w:rPr>
        <w:t xml:space="preserve">Role Title: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Chairperson/Co-Chairperson/Vice Chairperson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vertAlign w:val="baseline"/>
          <w:rtl w:val="0"/>
        </w:rPr>
        <w:t xml:space="preserve">Purpose of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To provide leadership to the committee and employees so the toy library is compliant and functioning effectively as a beloved community resource.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rtl w:val="0"/>
        </w:rPr>
        <w:t xml:space="preserve">Key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Support committee members and employees in fulfilling their roles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Ensure the Charities Register is up to date and accurate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Act as a contact person for the landlord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Act as contact person for Toy Library Federation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Prepare the annual plan in consultation with the committee and report on progress throughout the year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Oversee the management of the library functions and activities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Chair monthly meetings and AGM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Work alongside the Secretary to prepare the meeting agendas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Ensure decisions made by the committee are implemented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Keep up to date with relevant news and developments and feed back to the committee as required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vertAlign w:val="baseline"/>
          <w:rtl w:val="0"/>
        </w:rPr>
        <w:t xml:space="preserve">Skills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Understanding of legal and fiduciary obligations of registered charities, trustees and employers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Strong leadership skills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Community-minded, but also practical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vertAlign w:val="baseline"/>
          <w:rtl w:val="0"/>
        </w:rPr>
        <w:t xml:space="preserve">Commitment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Attend monthly meetings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 and any special meetings as required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Additional time for development of projects and assisting with annual events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Additional time for planning, documenting, assisting committee members, and keeping up to date with other toy libraries.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2"/>
          <w:szCs w:val="22"/>
          <w:vertAlign w:val="baseline"/>
          <w:rtl w:val="0"/>
        </w:rPr>
        <w:t xml:space="preserve">Resources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360" w:hanging="36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Computer and internet access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260" w:top="90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Montserrat" w:cs="Montserrat" w:eastAsia="Montserrat" w:hAnsi="Montserrat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West Auckland Community Toy Library</w:t>
      <w:tab/>
      <w:tab/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July 2023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ilfuvd">
    <w:name w:val="ilfuvd"/>
    <w:next w:val="ilfuv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4jXMWGIn3Gu3JmbHSOHnCSpsiw==">CgMxLjA4AHIhMUxhOHJYMzBmaVJPTURUUUs5NmtSWWl3YWw5czJPZlU0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2019-01-28T01:13:00Z</dcterms:created>
  <dc:creator>Install</dc:creator>
</cp:coreProperties>
</file>